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60" w:rsidRDefault="00FB5C60" w:rsidP="00573298">
      <w:pPr>
        <w:spacing w:after="0"/>
        <w:jc w:val="center"/>
        <w:rPr>
          <w:rFonts w:ascii="Verdana" w:hAnsi="Verdana"/>
          <w:b/>
          <w:sz w:val="40"/>
        </w:rPr>
      </w:pPr>
    </w:p>
    <w:p w:rsidR="00B735B0" w:rsidRPr="00617743" w:rsidRDefault="00B735B0" w:rsidP="00B735B0">
      <w:pPr>
        <w:spacing w:after="0"/>
        <w:jc w:val="center"/>
        <w:rPr>
          <w:rFonts w:ascii="Verdana" w:hAnsi="Verdana"/>
          <w:b/>
          <w:i/>
          <w:sz w:val="36"/>
          <w:szCs w:val="36"/>
        </w:rPr>
      </w:pPr>
    </w:p>
    <w:p w:rsidR="00B735B0" w:rsidRPr="00617743" w:rsidRDefault="00B735B0" w:rsidP="00B735B0">
      <w:pPr>
        <w:spacing w:after="0"/>
        <w:jc w:val="center"/>
        <w:rPr>
          <w:rFonts w:ascii="Verdana" w:hAnsi="Verdana"/>
          <w:b/>
          <w:i/>
          <w:sz w:val="36"/>
          <w:szCs w:val="36"/>
        </w:rPr>
      </w:pPr>
      <w:r w:rsidRPr="00617743">
        <w:rPr>
          <w:rFonts w:ascii="Verdana" w:hAnsi="Verdana"/>
          <w:b/>
          <w:i/>
          <w:sz w:val="36"/>
          <w:szCs w:val="36"/>
        </w:rPr>
        <w:t xml:space="preserve">1° OSSERVATORIO NAZIONALE SULLO STILE DI VITA </w:t>
      </w:r>
      <w:r w:rsidR="00A35EF4" w:rsidRPr="00617743">
        <w:rPr>
          <w:rFonts w:ascii="Verdana" w:hAnsi="Verdana"/>
          <w:b/>
          <w:i/>
          <w:sz w:val="36"/>
          <w:szCs w:val="36"/>
        </w:rPr>
        <w:t>SOSTENIBILE</w:t>
      </w:r>
    </w:p>
    <w:p w:rsidR="00B735B0" w:rsidRPr="00617743" w:rsidRDefault="00B735B0" w:rsidP="00B735B0">
      <w:pPr>
        <w:spacing w:after="0"/>
        <w:rPr>
          <w:rFonts w:ascii="Verdana" w:hAnsi="Verdana"/>
          <w:b/>
          <w:i/>
          <w:sz w:val="18"/>
          <w:szCs w:val="18"/>
        </w:rPr>
      </w:pPr>
    </w:p>
    <w:p w:rsidR="00573298" w:rsidRPr="00617743" w:rsidRDefault="00B735B0" w:rsidP="00B735B0">
      <w:pPr>
        <w:spacing w:after="0"/>
        <w:jc w:val="center"/>
        <w:rPr>
          <w:rFonts w:ascii="Verdana" w:hAnsi="Verdana" w:cs="Arial"/>
          <w:i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Lo studio </w:t>
      </w:r>
      <w:proofErr w:type="spellStart"/>
      <w:r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>LifeGate</w:t>
      </w:r>
      <w:proofErr w:type="spellEnd"/>
      <w:r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in collaborazione con </w:t>
      </w:r>
      <w:proofErr w:type="spellStart"/>
      <w:r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>Eumetra</w:t>
      </w:r>
      <w:proofErr w:type="spellEnd"/>
      <w:r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rileva comportamenti concreti, appassionati e </w:t>
      </w:r>
      <w:r w:rsidR="00845E19">
        <w:rPr>
          <w:rFonts w:ascii="Verdana" w:hAnsi="Verdana" w:cs="Arial"/>
          <w:i/>
          <w:sz w:val="20"/>
          <w:szCs w:val="20"/>
          <w:shd w:val="clear" w:color="auto" w:fill="FFFFFF"/>
        </w:rPr>
        <w:t>interessati</w:t>
      </w:r>
      <w:r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</w:t>
      </w:r>
      <w:r w:rsidR="00247DF5"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per </w:t>
      </w:r>
      <w:r w:rsidR="00845E19">
        <w:rPr>
          <w:rFonts w:ascii="Verdana" w:hAnsi="Verdana" w:cs="Arial"/>
          <w:i/>
          <w:sz w:val="20"/>
          <w:szCs w:val="20"/>
          <w:shd w:val="clear" w:color="auto" w:fill="FFFFFF"/>
        </w:rPr>
        <w:t>20</w:t>
      </w:r>
      <w:r w:rsidR="00247DF5"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milioni di italiani e attenzione alla</w:t>
      </w:r>
      <w:r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 xml:space="preserve"> sostenibilità anche in tempo di crisi.</w:t>
      </w:r>
    </w:p>
    <w:p w:rsidR="00D947EF" w:rsidRPr="00617743" w:rsidRDefault="00D947EF" w:rsidP="00B735B0">
      <w:pPr>
        <w:spacing w:after="0" w:line="240" w:lineRule="auto"/>
        <w:jc w:val="center"/>
        <w:rPr>
          <w:rFonts w:ascii="Verdana" w:hAnsi="Verdana" w:cs="Arial"/>
          <w:b/>
          <w:i/>
          <w:sz w:val="12"/>
          <w:szCs w:val="12"/>
          <w:shd w:val="clear" w:color="auto" w:fill="FFFFFF"/>
        </w:rPr>
      </w:pPr>
    </w:p>
    <w:p w:rsidR="00D37222" w:rsidRPr="00617743" w:rsidRDefault="00D37222" w:rsidP="00755D6F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  <w:shd w:val="clear" w:color="auto" w:fill="FFFFFF"/>
        </w:rPr>
      </w:pPr>
    </w:p>
    <w:p w:rsidR="001C1E3C" w:rsidRPr="00617743" w:rsidRDefault="00406C57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  <w:shd w:val="clear" w:color="auto" w:fill="FFFFFF"/>
        </w:rPr>
      </w:pPr>
      <w:r w:rsidRPr="00617743">
        <w:rPr>
          <w:rFonts w:ascii="Verdana" w:hAnsi="Verdana" w:cs="Arial"/>
          <w:i/>
          <w:sz w:val="20"/>
          <w:szCs w:val="20"/>
          <w:shd w:val="clear" w:color="auto" w:fill="FFFFFF"/>
        </w:rPr>
        <w:t>Maggio 2015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. </w:t>
      </w:r>
      <w:r w:rsidR="00B735B0" w:rsidRPr="00617743">
        <w:rPr>
          <w:rFonts w:ascii="Verdana" w:hAnsi="Verdana" w:cs="Arial"/>
          <w:sz w:val="20"/>
          <w:szCs w:val="20"/>
          <w:shd w:val="clear" w:color="auto" w:fill="FFFFFF"/>
        </w:rPr>
        <w:t>L’approccio degli italiani ai temi della sosteni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>bilità è positivo anche in tempo</w:t>
      </w:r>
      <w:r w:rsidR="00B735B0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di crisi e dimostra </w:t>
      </w:r>
      <w:r w:rsidR="002A0C38" w:rsidRPr="00617743">
        <w:rPr>
          <w:rFonts w:ascii="Verdana" w:hAnsi="Verdana" w:cs="Arial"/>
          <w:sz w:val="20"/>
          <w:szCs w:val="20"/>
          <w:shd w:val="clear" w:color="auto" w:fill="FFFFFF"/>
        </w:rPr>
        <w:t>atte</w:t>
      </w:r>
      <w:r w:rsidR="00B735B0" w:rsidRPr="00617743">
        <w:rPr>
          <w:rFonts w:ascii="Verdana" w:hAnsi="Verdana" w:cs="Arial"/>
          <w:sz w:val="20"/>
          <w:szCs w:val="20"/>
          <w:shd w:val="clear" w:color="auto" w:fill="FFFFFF"/>
        </w:rPr>
        <w:t>ggiamenti concreti ed e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>ffettivi, di consumo e acquisto</w:t>
      </w:r>
      <w:r w:rsidR="00B735B0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consapevoli, soprattutto in termini di sostenibilità ambientale. Un trend che coinvolge </w:t>
      </w:r>
      <w:r w:rsidR="00B55B1B">
        <w:rPr>
          <w:rFonts w:ascii="Verdana" w:hAnsi="Verdana" w:cs="Arial"/>
          <w:sz w:val="20"/>
          <w:szCs w:val="20"/>
          <w:shd w:val="clear" w:color="auto" w:fill="FFFFFF"/>
        </w:rPr>
        <w:t>circa 20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milioni di italiani e che </w:t>
      </w:r>
      <w:r w:rsidR="00A35EF4" w:rsidRPr="00617743">
        <w:rPr>
          <w:rFonts w:ascii="Verdana" w:hAnsi="Verdana" w:cs="Arial"/>
          <w:sz w:val="20"/>
          <w:szCs w:val="20"/>
          <w:shd w:val="clear" w:color="auto" w:fill="FFFFFF"/>
        </w:rPr>
        <w:t>e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>merge da</w:t>
      </w:r>
      <w:r w:rsidR="00C94890" w:rsidRPr="00617743">
        <w:rPr>
          <w:rFonts w:ascii="Verdana" w:hAnsi="Verdana" w:cs="Arial"/>
          <w:sz w:val="20"/>
          <w:szCs w:val="20"/>
          <w:shd w:val="clear" w:color="auto" w:fill="FFFFFF"/>
        </w:rPr>
        <w:t>l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1C1E3C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1°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1C1E3C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Osservatorio Nazionale sullo Stile di Vita Sostenibile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realizzato da </w:t>
      </w:r>
      <w:proofErr w:type="spellStart"/>
      <w:r w:rsidR="001C1E3C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LifeGate</w:t>
      </w:r>
      <w:proofErr w:type="spellEnd"/>
      <w:r w:rsidR="001C1E3C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,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punto di riferimento per lo sviluppo sostenibile in Italia, in collaborazione con </w:t>
      </w:r>
      <w:proofErr w:type="spellStart"/>
      <w:r w:rsidR="001C1E3C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Eumetra</w:t>
      </w:r>
      <w:proofErr w:type="spellEnd"/>
      <w:r w:rsidR="00C94890" w:rsidRPr="00617743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1C1E3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Istituto di ricerca sociale, economica e di opinione con sede a Milano.</w:t>
      </w:r>
    </w:p>
    <w:p w:rsidR="00390E50" w:rsidRPr="00617743" w:rsidRDefault="001C1E3C" w:rsidP="001C1E3C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Una fotografia concreta strutturata su un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campione di 1</w:t>
      </w:r>
      <w:r w:rsidR="00247DF5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.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000 </w:t>
      </w:r>
      <w:r w:rsidR="00C94890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persone</w:t>
      </w:r>
      <w:r w:rsidR="00C94890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rappresentative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della popolazione italiana e </w:t>
      </w:r>
      <w:r w:rsidR="00390E50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ideato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>con l’obiettivo di monitorare</w:t>
      </w:r>
      <w:r w:rsidR="00247DF5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nel tempo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il livello di consapevolezza, gli atteggiamenti e i comportamenti degli italiani rispetto ad un approccio </w:t>
      </w:r>
      <w:r w:rsidR="00390E50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di vita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>sostenibile</w:t>
      </w:r>
      <w:r w:rsidR="00390E50" w:rsidRPr="00617743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DE78E4" w:rsidRPr="00617743" w:rsidRDefault="00DE78E4" w:rsidP="001C1E3C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644BB2" w:rsidRPr="00617743" w:rsidRDefault="00DE78E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>Q</w:t>
      </w:r>
      <w:r w:rsidR="00644BB2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uattro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le </w:t>
      </w:r>
      <w:r w:rsidR="00644BB2" w:rsidRPr="00617743">
        <w:rPr>
          <w:rFonts w:ascii="Verdana" w:hAnsi="Verdana" w:cs="Arial"/>
          <w:sz w:val="20"/>
          <w:szCs w:val="20"/>
          <w:shd w:val="clear" w:color="auto" w:fill="FFFFFF"/>
        </w:rPr>
        <w:t>differenti aree di indagine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prese in esame, al fine di </w:t>
      </w:r>
      <w:r w:rsidR="00A35EF4" w:rsidRPr="00617743">
        <w:rPr>
          <w:rFonts w:ascii="Verdana" w:hAnsi="Verdana" w:cs="Arial"/>
          <w:sz w:val="20"/>
          <w:szCs w:val="20"/>
          <w:shd w:val="clear" w:color="auto" w:fill="FFFFFF"/>
        </w:rPr>
        <w:t>monitorare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le diverse articolazioni della sostenibilità</w:t>
      </w:r>
      <w:r w:rsidR="00644BB2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: </w:t>
      </w:r>
      <w:r w:rsidR="00644BB2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livello di conoscenza, atteggiamento, comportamento di consumo e comportamento d’acquisto</w:t>
      </w:r>
      <w:r w:rsidR="00644BB2" w:rsidRPr="00617743">
        <w:rPr>
          <w:rFonts w:ascii="Verdana" w:hAnsi="Verdana" w:cs="Arial"/>
          <w:sz w:val="20"/>
          <w:szCs w:val="20"/>
          <w:shd w:val="clear" w:color="auto" w:fill="FFFFFF"/>
        </w:rPr>
        <w:t>.</w:t>
      </w:r>
      <w:r w:rsidR="0082766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Questa prima 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>indagine</w:t>
      </w:r>
      <w:r w:rsidR="0082766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ha inoltre approfondito il tema dell’alimentazione, tematica centrale nell’anno di Expo 2015</w:t>
      </w:r>
      <w:r w:rsidR="00C94890" w:rsidRPr="00617743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4C75C2" w:rsidRPr="00617743" w:rsidRDefault="00F05871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Dal quadro </w:t>
      </w:r>
      <w:r w:rsidR="00B60959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generale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emerge </w:t>
      </w:r>
      <w:r w:rsidR="00B60959" w:rsidRPr="00617743">
        <w:rPr>
          <w:rFonts w:ascii="Verdana" w:hAnsi="Verdana" w:cs="Arial"/>
          <w:sz w:val="20"/>
          <w:szCs w:val="20"/>
          <w:shd w:val="clear" w:color="auto" w:fill="FFFFFF"/>
        </w:rPr>
        <w:t>come</w:t>
      </w:r>
      <w:r w:rsidR="00A35EF4" w:rsidRPr="00617743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r</w:t>
      </w:r>
      <w:r w:rsidR="00713191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ispetto </w:t>
      </w:r>
      <w:r w:rsidR="00C94890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a 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conoscenza e declinazione </w:t>
      </w:r>
      <w:r w:rsidR="00713191" w:rsidRPr="00617743">
        <w:rPr>
          <w:rFonts w:ascii="Verdana" w:hAnsi="Verdana" w:cs="Arial"/>
          <w:sz w:val="20"/>
          <w:szCs w:val="20"/>
          <w:shd w:val="clear" w:color="auto" w:fill="FFFFFF"/>
        </w:rPr>
        <w:t>della sostenibilità, la maggi</w:t>
      </w:r>
      <w:r w:rsidR="00B60959" w:rsidRPr="00617743">
        <w:rPr>
          <w:rFonts w:ascii="Verdana" w:hAnsi="Verdana" w:cs="Arial"/>
          <w:sz w:val="20"/>
          <w:szCs w:val="20"/>
          <w:shd w:val="clear" w:color="auto" w:fill="FFFFFF"/>
        </w:rPr>
        <w:t>oranza del campione la riconduca</w:t>
      </w:r>
      <w:r w:rsidR="00713191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alla sfera </w:t>
      </w:r>
      <w:r w:rsidR="00B60959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ambientale ed ecologica</w:t>
      </w:r>
      <w:r w:rsidR="00234569" w:rsidRPr="00617743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713191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60959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mentre </w:t>
      </w:r>
      <w:r w:rsidR="00713191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solo il 10% ne ha conoscenza approfondita. </w:t>
      </w:r>
      <w:r w:rsidR="00B60959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Particolarmente positivo è il dato relativo </w:t>
      </w:r>
      <w:r w:rsidR="004C75C2" w:rsidRPr="00617743">
        <w:rPr>
          <w:rFonts w:ascii="Verdana" w:hAnsi="Verdana" w:cs="Arial"/>
          <w:sz w:val="20"/>
          <w:szCs w:val="20"/>
          <w:shd w:val="clear" w:color="auto" w:fill="FFFFFF"/>
        </w:rPr>
        <w:t>al coinvolgimento</w:t>
      </w:r>
      <w:r w:rsidR="00B60959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: il </w:t>
      </w:r>
      <w:r w:rsidR="00713191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48%</w:t>
      </w:r>
      <w:r w:rsidR="00B60959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del campione</w:t>
      </w:r>
      <w:r w:rsidR="00713191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ritiene </w:t>
      </w:r>
      <w:r w:rsidR="00B60959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infatti </w:t>
      </w:r>
      <w:r w:rsidR="00713191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che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sia una tematica di grande interesse e che rappresenti uno stile di vita sempre più diffuso. </w:t>
      </w:r>
      <w:r w:rsidR="00845E19" w:rsidRPr="00754FEB">
        <w:rPr>
          <w:rFonts w:ascii="Verdana" w:hAnsi="Verdana" w:cs="Arial"/>
          <w:sz w:val="20"/>
          <w:szCs w:val="20"/>
          <w:shd w:val="clear" w:color="auto" w:fill="FFFFFF"/>
        </w:rPr>
        <w:t>L’analisi re</w:t>
      </w:r>
      <w:r w:rsidR="00845E19">
        <w:rPr>
          <w:rFonts w:ascii="Verdana" w:hAnsi="Verdana" w:cs="Arial"/>
          <w:sz w:val="20"/>
          <w:szCs w:val="20"/>
          <w:shd w:val="clear" w:color="auto" w:fill="FFFFFF"/>
        </w:rPr>
        <w:t xml:space="preserve">gistra in particolare come sia il campione in </w:t>
      </w:r>
      <w:r w:rsidR="00845E19" w:rsidRPr="0084460C">
        <w:rPr>
          <w:rFonts w:ascii="Verdana" w:hAnsi="Verdana" w:cs="Arial"/>
          <w:b/>
          <w:sz w:val="20"/>
          <w:szCs w:val="20"/>
          <w:shd w:val="clear" w:color="auto" w:fill="FFFFFF"/>
        </w:rPr>
        <w:t>fascia d’età 18 – 34 anni</w:t>
      </w:r>
      <w:r w:rsidR="00845E19">
        <w:rPr>
          <w:rFonts w:ascii="Verdana" w:hAnsi="Verdana" w:cs="Arial"/>
          <w:sz w:val="20"/>
          <w:szCs w:val="20"/>
          <w:shd w:val="clear" w:color="auto" w:fill="FFFFFF"/>
        </w:rPr>
        <w:t xml:space="preserve"> a manifestare il maggior livello grado di attenzione a questa tematica (37%), s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>eguito dalla fascia d’età 35 – 5</w:t>
      </w:r>
      <w:r w:rsidR="00845E19">
        <w:rPr>
          <w:rFonts w:ascii="Verdana" w:hAnsi="Verdana" w:cs="Arial"/>
          <w:sz w:val="20"/>
          <w:szCs w:val="20"/>
          <w:shd w:val="clear" w:color="auto" w:fill="FFFFFF"/>
        </w:rPr>
        <w:t>4 anni.</w:t>
      </w:r>
    </w:p>
    <w:p w:rsidR="00D679C4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F05871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>In termini di</w:t>
      </w:r>
      <w:r w:rsidR="00F05871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F05871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atteggiamenti verso la sostenibilità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, il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47%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degli intervistati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manifesta interesse e propensione </w:t>
      </w:r>
      <w:r w:rsidR="00652584" w:rsidRPr="00617743">
        <w:rPr>
          <w:rFonts w:ascii="Verdana" w:hAnsi="Verdana" w:cs="Arial"/>
          <w:sz w:val="20"/>
          <w:szCs w:val="20"/>
          <w:shd w:val="clear" w:color="auto" w:fill="FFFFFF"/>
        </w:rPr>
        <w:t>anche in periodo di crisi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>. In particolare,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entrando 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>in dettaglio,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AE6153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l’85%</w:t>
      </w:r>
      <w:r w:rsidR="00247DF5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ritiene corretti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652584" w:rsidRPr="00617743">
        <w:rPr>
          <w:rFonts w:ascii="Verdana" w:hAnsi="Verdana" w:cs="Arial"/>
          <w:sz w:val="20"/>
          <w:szCs w:val="20"/>
          <w:shd w:val="clear" w:color="auto" w:fill="FFFFFF"/>
        </w:rPr>
        <w:t>gli investimenti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nell</w:t>
      </w:r>
      <w:r w:rsidR="00A35EF4" w:rsidRPr="00617743">
        <w:rPr>
          <w:rFonts w:ascii="Verdana" w:hAnsi="Verdana" w:cs="Arial"/>
          <w:sz w:val="20"/>
          <w:szCs w:val="20"/>
          <w:shd w:val="clear" w:color="auto" w:fill="FFFFFF"/>
        </w:rPr>
        <w:t>e energie rinnovabili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e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AE6153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l’80%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che sia necessario un potenziamento dei mezzi pubblici affinché i citta</w:t>
      </w:r>
      <w:r w:rsidR="00247DF5" w:rsidRPr="00617743">
        <w:rPr>
          <w:rFonts w:ascii="Verdana" w:hAnsi="Verdana" w:cs="Arial"/>
          <w:sz w:val="20"/>
          <w:szCs w:val="20"/>
          <w:shd w:val="clear" w:color="auto" w:fill="FFFFFF"/>
        </w:rPr>
        <w:t>dini usino meno le auto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. Emerge inoltre </w:t>
      </w:r>
      <w:r w:rsidR="00AE6153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interesse e propensione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per </w:t>
      </w:r>
      <w:r w:rsidR="00AE6153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l’agricoltura biologica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, sostenuta dal </w:t>
      </w:r>
      <w:r w:rsidR="00AE6153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75% del campione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>, e per la medicina naturale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>: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il 68% sostiene l’omeopati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>a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anche se 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 xml:space="preserve">– sappiamo - </w:t>
      </w:r>
      <w:r w:rsidR="00AE6153" w:rsidRPr="00617743">
        <w:rPr>
          <w:rFonts w:ascii="Verdana" w:hAnsi="Verdana" w:cs="Arial"/>
          <w:sz w:val="20"/>
          <w:szCs w:val="20"/>
          <w:shd w:val="clear" w:color="auto" w:fill="FFFFFF"/>
        </w:rPr>
        <w:t>la maggior parte dei cittadini si cura con la medicina tradizionale.</w:t>
      </w:r>
    </w:p>
    <w:p w:rsidR="00E50225" w:rsidRPr="00617743" w:rsidRDefault="00E50225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In tema di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sostenibilità in città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, 3 italiani su 4 ritengono che la raccolta differenziata dei rifiuti sia corretta e funzionale e il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65% è a favore della riconversione di zone cittadine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edificabili in aree verdi. Inoltre, per ciò che concerne le tematiche di viabilità, il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46% propende per il restringimento delle corsie per le auto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a favore di piste ciclabili e il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41% per la creazione di aree a traffico limitato e a pagamento per i mezzi a motore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(come Area C a Milano).</w:t>
      </w:r>
    </w:p>
    <w:p w:rsidR="00D679C4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D679C4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D679C4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D679C4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D679C4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D679C4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D679C4" w:rsidRPr="00617743" w:rsidRDefault="00D679C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352F30" w:rsidRPr="00617743" w:rsidRDefault="00352F30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A35EF4" w:rsidRPr="00617743" w:rsidRDefault="00A35EF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A35EF4" w:rsidRPr="00617743" w:rsidRDefault="00A35EF4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00740A" w:rsidRPr="00617743" w:rsidRDefault="0000740A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00740A" w:rsidRPr="00617743" w:rsidRDefault="0000740A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00740A" w:rsidRPr="00617743" w:rsidRDefault="0000740A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00740A" w:rsidRPr="00617743" w:rsidRDefault="0000740A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2319AE" w:rsidRPr="00617743" w:rsidRDefault="00B43A7C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Per ciò che concerne </w:t>
      </w:r>
      <w:r w:rsidR="002319AE" w:rsidRPr="00617743">
        <w:rPr>
          <w:rFonts w:ascii="Verdana" w:hAnsi="Verdana" w:cs="Arial"/>
          <w:sz w:val="20"/>
          <w:szCs w:val="20"/>
          <w:shd w:val="clear" w:color="auto" w:fill="FFFFFF"/>
        </w:rPr>
        <w:t>gli atteggiamenti e le azioni</w:t>
      </w:r>
      <w:r w:rsidR="002319AE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concrete svolte in ottica</w:t>
      </w:r>
      <w:r w:rsidR="00A35EF4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di</w:t>
      </w:r>
      <w:r w:rsidR="002319AE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sostenibilità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, il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23%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del campione 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manifesta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un alto indice di </w:t>
      </w:r>
      <w:r w:rsidR="002319AE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comportamento effettivo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e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il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24% è propenso all’acquisto di “beni” sostenibili anche se </w:t>
      </w:r>
      <w:r w:rsidR="000A1711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ad un </w:t>
      </w:r>
      <w:r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costo superiore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agli altri prodotti. </w:t>
      </w:r>
    </w:p>
    <w:p w:rsidR="00B43A7C" w:rsidRPr="00617743" w:rsidRDefault="000A1711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>Alcuni esempi? Il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37% degli intervistati s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 xml:space="preserve">i dice interessato all’acquisto di 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lampadine a LED per l’illuminazione di casa e il 34% 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 xml:space="preserve">di 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>elettrodomestici a basso consumo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energetico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>. Da questi risultati emerge una tendenza a scegliere soluzioni e prodotti sostenibili, anche se di costi superiori, a fronte di un risparmio fut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>uro in termini di qualità e durabilità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>.</w:t>
      </w:r>
    </w:p>
    <w:p w:rsidR="00352F30" w:rsidRPr="00617743" w:rsidRDefault="00352F30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406C57" w:rsidRPr="00617743" w:rsidRDefault="00454615" w:rsidP="00755D6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>L’O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sservatorio ha inoltre 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>evidenziato una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43A7C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segmentazione degli italiani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sulla base del 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 xml:space="preserve">complessivo </w:t>
      </w:r>
      <w:r w:rsidR="00B43A7C" w:rsidRPr="00617743">
        <w:rPr>
          <w:rFonts w:ascii="Verdana" w:hAnsi="Verdana" w:cs="Arial"/>
          <w:sz w:val="20"/>
          <w:szCs w:val="20"/>
          <w:shd w:val="clear" w:color="auto" w:fill="FFFFFF"/>
        </w:rPr>
        <w:t>coinvolgimento nei confronti della sostenibilità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: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le persone che registrano i livelli più alti rispetto agli indici analizzati </w:t>
      </w:r>
      <w:r w:rsidR="00996CED" w:rsidRPr="00617743">
        <w:rPr>
          <w:rFonts w:ascii="Verdana" w:hAnsi="Verdana" w:cs="Arial"/>
          <w:sz w:val="20"/>
          <w:szCs w:val="20"/>
          <w:shd w:val="clear" w:color="auto" w:fill="FFFFFF"/>
        </w:rPr>
        <w:t>si attesta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>no</w:t>
      </w:r>
      <w:r w:rsidR="00996CED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>attorno ai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9 milioni 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>per quanto concerne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D9393B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conoscenza della sostenibilità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="00D9393B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coinvolgimento individuale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="00D9393B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atteggiamento positivo verso le pratiche sostenibili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="00D9393B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sostenibilità in città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="00D9393B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comportamento effettivo </w:t>
      </w:r>
      <w:r w:rsidR="00D9393B" w:rsidRPr="00617743">
        <w:rPr>
          <w:rFonts w:ascii="Verdana" w:hAnsi="Verdana" w:cs="Arial"/>
          <w:sz w:val="20"/>
          <w:szCs w:val="20"/>
          <w:shd w:val="clear" w:color="auto" w:fill="FFFFFF"/>
        </w:rPr>
        <w:t>e</w:t>
      </w:r>
      <w:r w:rsidR="00D9393B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disponibilità d’acquisto di beni sostenibili anche a costi superiori.</w:t>
      </w:r>
    </w:p>
    <w:p w:rsidR="00335D26" w:rsidRPr="00617743" w:rsidRDefault="00D9393B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>Dall’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>O</w:t>
      </w:r>
      <w:r w:rsidR="00335D26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sservatorio emerge </w:t>
      </w:r>
      <w:r w:rsidR="00996CED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però anche </w:t>
      </w:r>
      <w:r w:rsidR="00335D26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la necessità di </w:t>
      </w:r>
      <w:r w:rsidR="00335D26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maggior informazione e cultura</w:t>
      </w:r>
      <w:r w:rsidR="00335D26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rispetto 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alle diverse accezioni </w:t>
      </w:r>
      <w:r w:rsidR="000A1711" w:rsidRPr="00617743">
        <w:rPr>
          <w:rFonts w:ascii="Verdana" w:hAnsi="Verdana" w:cs="Arial"/>
          <w:sz w:val="20"/>
          <w:szCs w:val="20"/>
          <w:shd w:val="clear" w:color="auto" w:fill="FFFFFF"/>
        </w:rPr>
        <w:t>della</w:t>
      </w:r>
      <w:r w:rsidR="00335D26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sostenibilità.</w:t>
      </w:r>
      <w:r w:rsidR="000A1711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E0698A">
        <w:rPr>
          <w:rFonts w:ascii="Verdana" w:hAnsi="Verdana" w:cs="Arial"/>
          <w:sz w:val="20"/>
          <w:szCs w:val="20"/>
          <w:shd w:val="clear" w:color="auto" w:fill="FFFFFF"/>
        </w:rPr>
        <w:t>Analizzando i risultati dell’indagine, si ritiene che l</w:t>
      </w:r>
      <w:r w:rsidR="00335D26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’approccio e il coinvolgimento degli italiani 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>nei confronti di</w:t>
      </w:r>
      <w:r w:rsidR="00335D26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queste tematiche sarebbe maggiore e più approfondito se conoscessero meglio</w:t>
      </w:r>
      <w:r w:rsidR="00A35EF4" w:rsidRPr="00617743">
        <w:rPr>
          <w:rFonts w:ascii="Verdana" w:hAnsi="Verdana" w:cs="Arial"/>
          <w:sz w:val="20"/>
          <w:szCs w:val="20"/>
          <w:shd w:val="clear" w:color="auto" w:fill="FFFFFF"/>
        </w:rPr>
        <w:t>, e se fossero più informati</w:t>
      </w:r>
      <w:r w:rsidR="005C482E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sui </w:t>
      </w:r>
      <w:r w:rsidR="00A35EF4" w:rsidRPr="00617743">
        <w:rPr>
          <w:rFonts w:ascii="Verdana" w:hAnsi="Verdana" w:cs="Arial"/>
          <w:sz w:val="20"/>
          <w:szCs w:val="20"/>
          <w:shd w:val="clear" w:color="auto" w:fill="FFFFFF"/>
        </w:rPr>
        <w:t>temi,</w:t>
      </w:r>
      <w:r w:rsidR="005C482E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i significati</w:t>
      </w:r>
      <w:r w:rsidR="00335D26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e le declinazioni legate </w:t>
      </w:r>
      <w:r w:rsidR="005C482E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ad un approccio consapevole nel proprio stile di vita, soprattutto in ambiti come la mobilità, il turismo e il sociale. Un dato questo che rivela l’importanza di potenziare l’informazione e la diffusione di comportamenti sostenibili, soprattutto a causa di un terreno particolarmente fertile e diffuso di 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>“</w:t>
      </w:r>
      <w:r w:rsidR="005C482E" w:rsidRPr="00617743">
        <w:rPr>
          <w:rFonts w:ascii="Verdana" w:hAnsi="Verdana" w:cs="Arial"/>
          <w:sz w:val="20"/>
          <w:szCs w:val="20"/>
          <w:shd w:val="clear" w:color="auto" w:fill="FFFFFF"/>
        </w:rPr>
        <w:t>interessati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>”</w:t>
      </w:r>
      <w:r w:rsidR="005C482E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e 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>“</w:t>
      </w:r>
      <w:r w:rsidR="005C482E" w:rsidRPr="00617743">
        <w:rPr>
          <w:rFonts w:ascii="Verdana" w:hAnsi="Verdana" w:cs="Arial"/>
          <w:sz w:val="20"/>
          <w:szCs w:val="20"/>
          <w:shd w:val="clear" w:color="auto" w:fill="FFFFFF"/>
        </w:rPr>
        <w:t>appassionati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>”</w:t>
      </w:r>
      <w:r w:rsidR="005C482E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al tema (48%).</w:t>
      </w:r>
    </w:p>
    <w:p w:rsidR="000A1711" w:rsidRPr="00617743" w:rsidRDefault="000A1711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5C482E" w:rsidRPr="00617743" w:rsidRDefault="005C482E" w:rsidP="00755D6F">
      <w:pPr>
        <w:spacing w:after="0" w:line="240" w:lineRule="auto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Il campione di intervistati è stato </w:t>
      </w:r>
      <w:r w:rsidR="00454615" w:rsidRPr="00617743">
        <w:rPr>
          <w:rFonts w:ascii="Verdana" w:hAnsi="Verdana" w:cs="Arial"/>
          <w:sz w:val="20"/>
          <w:szCs w:val="20"/>
          <w:shd w:val="clear" w:color="auto" w:fill="FFFFFF"/>
        </w:rPr>
        <w:t>anche interpellato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sul tema dell’alimentazione, con un focus specifico sui consumi, le abitudini di acquisto e il proprio livello </w:t>
      </w:r>
      <w:r w:rsidR="00A35EF4" w:rsidRPr="00617743">
        <w:rPr>
          <w:rFonts w:ascii="Verdana" w:hAnsi="Verdana" w:cs="Arial"/>
          <w:sz w:val="20"/>
          <w:szCs w:val="20"/>
          <w:shd w:val="clear" w:color="auto" w:fill="FFFFFF"/>
        </w:rPr>
        <w:t>di informazione</w:t>
      </w:r>
      <w:r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in ambito alimentare.</w:t>
      </w:r>
    </w:p>
    <w:p w:rsidR="00EC5E9E" w:rsidRDefault="005C482E" w:rsidP="00755D6F">
      <w:pPr>
        <w:spacing w:after="0" w:line="24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617743">
        <w:rPr>
          <w:rFonts w:ascii="Verdana" w:hAnsi="Verdana" w:cs="Arial"/>
          <w:sz w:val="20"/>
          <w:szCs w:val="20"/>
          <w:shd w:val="clear" w:color="auto" w:fill="FFFFFF"/>
        </w:rPr>
        <w:t>Dallo studio</w:t>
      </w:r>
      <w:r w:rsidR="00EC5E9E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emerge che il </w:t>
      </w:r>
      <w:r w:rsidR="00EC5E9E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48%</w:t>
      </w:r>
      <w:r w:rsidR="00342E2D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degli intervistati</w:t>
      </w:r>
      <w:r w:rsidR="00EC5E9E" w:rsidRPr="00617743">
        <w:rPr>
          <w:rFonts w:ascii="Verdana" w:hAnsi="Verdana" w:cs="Arial"/>
          <w:sz w:val="20"/>
          <w:szCs w:val="20"/>
          <w:shd w:val="clear" w:color="auto" w:fill="FFFFFF"/>
        </w:rPr>
        <w:t xml:space="preserve"> ritiene che </w:t>
      </w:r>
      <w:r w:rsidR="00EC5E9E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>l’alimentazi</w:t>
      </w:r>
      <w:r w:rsidR="00342E2D" w:rsidRPr="00617743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one </w:t>
      </w:r>
      <w:r w:rsidR="00342E2D" w:rsidRPr="005C482E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sia un fattore impattante</w:t>
      </w:r>
      <w:r w:rsidR="0045461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="00A35EF4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per la salute e che</w:t>
      </w:r>
      <w:r w:rsidR="00342E2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una corretta </w:t>
      </w:r>
      <w:r w:rsidR="00A35EF4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alimentazione</w:t>
      </w:r>
      <w:r w:rsidR="00342E2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sia funzionale al proprio stato di benessere.</w:t>
      </w:r>
    </w:p>
    <w:p w:rsidR="00755D6F" w:rsidRDefault="00342E2D" w:rsidP="00755D6F">
      <w:pPr>
        <w:spacing w:after="0" w:line="24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  <w:r w:rsidRPr="00352F30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Infatti, l’88% degli intervistati </w:t>
      </w:r>
      <w:r w:rsidR="0045461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“</w:t>
      </w:r>
      <w:r w:rsidRPr="00352F30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appassionati</w:t>
      </w:r>
      <w:r w:rsidR="0045461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”</w:t>
      </w:r>
      <w:r w:rsidRPr="00352F30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legge la lista degli ingredienti e i valori nutrizionali riportati sulle confezioni e l’81% controlla la provenienza e la stagionalità dell’alimento.</w:t>
      </w:r>
      <w:r w:rsidR="007F6CCD" w:rsidRPr="00352F30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Interessante sottolineare come il </w:t>
      </w:r>
      <w:r w:rsidR="007F6CCD" w:rsidRPr="00352F30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 xml:space="preserve">49% dei </w:t>
      </w:r>
      <w:r w:rsidR="00454615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“</w:t>
      </w:r>
      <w:r w:rsidR="007F6CCD" w:rsidRPr="00352F30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disinteressati</w:t>
      </w:r>
      <w:r w:rsidR="00454615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”</w:t>
      </w:r>
      <w:r w:rsidR="007F6CCD" w:rsidRPr="00352F30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svolga comunque questa attività al momento dell’acquisto di un prodotto alimentare, il 43% controlli la provenienza e il 23%</w:t>
      </w:r>
      <w:r w:rsidR="007F6CCD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si chieda comunque quale sia l’impatto ambientale per la produzione. Il cluster di appassionati </w:t>
      </w:r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controlla inoltre che prodotto sia biologico (72%) o evita di comprare una marca che non ha comportamenti etici (55%).</w:t>
      </w:r>
    </w:p>
    <w:p w:rsidR="00352F30" w:rsidRDefault="00352F30" w:rsidP="00755D6F">
      <w:pPr>
        <w:spacing w:after="0" w:line="240" w:lineRule="auto"/>
        <w:jc w:val="both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755D6F" w:rsidRDefault="003912CB" w:rsidP="00755D6F">
      <w:pPr>
        <w:spacing w:after="0" w:line="240" w:lineRule="auto"/>
        <w:jc w:val="both"/>
        <w:rPr>
          <w:rFonts w:ascii="Arial" w:eastAsia="MS Mincho" w:hAnsi="Arial"/>
          <w:sz w:val="20"/>
          <w:szCs w:val="20"/>
          <w:lang w:eastAsia="fr-FR"/>
        </w:rPr>
      </w:pP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Una sezione </w:t>
      </w:r>
      <w:r w:rsidR="006A3EA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dell’indagine 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>è stata</w:t>
      </w:r>
      <w:r w:rsidR="00A35EF4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infine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dedicata </w:t>
      </w:r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agli alimenti biologici: il 75% degli intervistati si pone con un atteggiamento positivo verso il sostegno all’agricoltura biologic</w:t>
      </w:r>
      <w:r w:rsidR="00A35EF4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a</w:t>
      </w:r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, il 31% </w:t>
      </w:r>
      <w:r w:rsidR="004B0ED9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dichiara di </w:t>
      </w:r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consuma</w:t>
      </w:r>
      <w:r w:rsidR="004B0ED9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re</w:t>
      </w:r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alimenti </w:t>
      </w:r>
      <w:proofErr w:type="spellStart"/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bio</w:t>
      </w:r>
      <w:proofErr w:type="spellEnd"/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e </w:t>
      </w:r>
      <w:r w:rsidRPr="00C35AD3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l’83%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del campione sceglierebbe </w:t>
      </w:r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più facilmente </w:t>
      </w:r>
      <w:r w:rsidR="006A3EA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questi 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prodotti </w:t>
      </w:r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se costassero come gli altri. 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>È stato anche indagato il comportamento dei consumatori assidui al biologico: il 65% del campione controlla che l’alimen</w:t>
      </w:r>
      <w:r w:rsidR="006A3EA7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to sia effettivamente certificato </w:t>
      </w:r>
      <w:r>
        <w:rPr>
          <w:rFonts w:ascii="Verdana" w:hAnsi="Verdana" w:cs="Arial"/>
          <w:color w:val="333333"/>
          <w:sz w:val="20"/>
          <w:szCs w:val="20"/>
          <w:shd w:val="clear" w:color="auto" w:fill="FFFFFF"/>
        </w:rPr>
        <w:t>e il 58% verifica che sia privo di OGM.</w:t>
      </w:r>
      <w:r w:rsidR="00C35AD3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="00737DF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Dal quadro emerge </w:t>
      </w:r>
      <w:r w:rsidR="00E8105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come </w:t>
      </w:r>
      <w:r w:rsidR="00737DF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la scelta di cibi biologici </w:t>
      </w:r>
      <w:r w:rsidR="00E8105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sia</w:t>
      </w:r>
      <w:r w:rsidR="00737DF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vincolata da limiti di prezzo: solo chi realmente ha un interesse profondo li sceglie a </w:t>
      </w:r>
      <w:r w:rsidR="00E8105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fronte</w:t>
      </w:r>
      <w:r w:rsidR="00737DF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di costi </w:t>
      </w:r>
      <w:r w:rsidR="00E8105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superiori.</w:t>
      </w:r>
      <w:r w:rsidR="00737DF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55D6F" w:rsidRDefault="00755D6F" w:rsidP="000177AC">
      <w:pPr>
        <w:pStyle w:val="Nessunaspaziatura"/>
        <w:spacing w:before="60" w:after="60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</w:p>
    <w:p w:rsidR="00352F30" w:rsidRDefault="00352F30" w:rsidP="00352F30">
      <w:pPr>
        <w:spacing w:after="0" w:line="300" w:lineRule="exact"/>
        <w:jc w:val="both"/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</w:pPr>
      <w:proofErr w:type="spellStart"/>
      <w:r w:rsidRPr="00352F30">
        <w:rPr>
          <w:rFonts w:ascii="Verdana" w:hAnsi="Verdana" w:cs="Arial"/>
          <w:b/>
          <w:color w:val="333333"/>
          <w:sz w:val="20"/>
          <w:szCs w:val="20"/>
          <w:shd w:val="clear" w:color="auto" w:fill="FFFFFF"/>
        </w:rPr>
        <w:t>LifeGate</w:t>
      </w:r>
      <w:proofErr w:type="spellEnd"/>
    </w:p>
    <w:p w:rsidR="00352F30" w:rsidRPr="00352F30" w:rsidRDefault="00352F30" w:rsidP="00352F30">
      <w:pPr>
        <w:spacing w:after="0" w:line="240" w:lineRule="auto"/>
        <w:jc w:val="both"/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</w:pPr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 xml:space="preserve">Oggi </w:t>
      </w:r>
      <w:proofErr w:type="spellStart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>LifeGate</w:t>
      </w:r>
      <w:proofErr w:type="spellEnd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 xml:space="preserve"> è il punto di riferimento per la sostenibilità in Italia, media network e </w:t>
      </w:r>
      <w:proofErr w:type="spellStart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>advisor</w:t>
      </w:r>
      <w:proofErr w:type="spellEnd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 xml:space="preserve"> per lo sviluppo sostenibile.</w:t>
      </w:r>
    </w:p>
    <w:p w:rsidR="00352F30" w:rsidRPr="00352F30" w:rsidRDefault="00352F30" w:rsidP="00352F30">
      <w:pPr>
        <w:spacing w:after="0" w:line="240" w:lineRule="auto"/>
        <w:jc w:val="both"/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</w:pPr>
      <w:proofErr w:type="spellStart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>LifeGate</w:t>
      </w:r>
      <w:proofErr w:type="spellEnd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 xml:space="preserve">, fondata nel 2000 da Marco Roveda, precursore del biologico con fattoria Scaldasole, supporta le aziende nel loro percorso di sviluppo sostenibile attraverso il nuovo modello di impresa “People, Planet e Profit”. </w:t>
      </w:r>
      <w:proofErr w:type="spellStart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>LifeGate</w:t>
      </w:r>
      <w:proofErr w:type="spellEnd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 xml:space="preserve"> offre consulenza su sostenibilità, progetti di comunicazione, fornitura di energia ed efficienza energetica. Il gruppo </w:t>
      </w:r>
      <w:proofErr w:type="spellStart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>LifeGate</w:t>
      </w:r>
      <w:proofErr w:type="spellEnd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 xml:space="preserve"> affianca alle proprie attività rivolte alle imprese un network di comunicazione (LifeGate.it, </w:t>
      </w:r>
      <w:proofErr w:type="spellStart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>LifeGate</w:t>
      </w:r>
      <w:proofErr w:type="spellEnd"/>
      <w:r w:rsidRPr="00352F30">
        <w:rPr>
          <w:rFonts w:ascii="Verdana" w:hAnsi="Verdana" w:cs="Arial"/>
          <w:i/>
          <w:color w:val="333333"/>
          <w:sz w:val="16"/>
          <w:szCs w:val="16"/>
          <w:shd w:val="clear" w:color="auto" w:fill="FFFFFF"/>
        </w:rPr>
        <w:t xml:space="preserve"> and sound, social media, newsletter) coinvolgendo ed informando una community di oltre 5 milioni di contatti. </w:t>
      </w:r>
    </w:p>
    <w:p w:rsidR="00352F30" w:rsidRPr="00352F30" w:rsidRDefault="00352F30" w:rsidP="00352F30">
      <w:pPr>
        <w:spacing w:after="0" w:line="300" w:lineRule="exact"/>
        <w:jc w:val="center"/>
        <w:rPr>
          <w:rFonts w:ascii="Verdana" w:hAnsi="Verdana" w:cs="Arial"/>
          <w:color w:val="333333"/>
          <w:sz w:val="20"/>
          <w:szCs w:val="20"/>
          <w:shd w:val="clear" w:color="auto" w:fill="FFFFFF"/>
        </w:rPr>
      </w:pPr>
    </w:p>
    <w:p w:rsidR="00352F30" w:rsidRPr="00352F30" w:rsidRDefault="00352F30" w:rsidP="00352F30">
      <w:pPr>
        <w:pStyle w:val="Nessunaspaziatura"/>
        <w:spacing w:before="60" w:after="60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 w:rsidRPr="00352F30">
        <w:rPr>
          <w:rFonts w:ascii="Verdana" w:hAnsi="Verdana"/>
          <w:b/>
          <w:bCs/>
          <w:color w:val="000000"/>
          <w:sz w:val="18"/>
          <w:szCs w:val="18"/>
        </w:rPr>
        <w:t>Eumetra</w:t>
      </w:r>
      <w:proofErr w:type="spellEnd"/>
    </w:p>
    <w:p w:rsidR="00352F30" w:rsidRPr="00352F30" w:rsidRDefault="00352F30" w:rsidP="00352F30">
      <w:pPr>
        <w:pStyle w:val="Nessunaspaziatura"/>
        <w:spacing w:before="60" w:after="60"/>
        <w:jc w:val="both"/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</w:pPr>
      <w:proofErr w:type="spellStart"/>
      <w:r w:rsidRPr="00352F30"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  <w:t>Eumetra</w:t>
      </w:r>
      <w:proofErr w:type="spellEnd"/>
      <w:r w:rsidRPr="00352F30"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  <w:t xml:space="preserve"> è un Istituto di ricerca sociale, economica e di opinione con sede a Milano. L’Istituto esegue ricerche di elevata qualità, rigore scientifico ed efficacia, per Aziende, Media, Istituzioni, Mondo politico, Associazioni di categoria, Terzo settore e No profit. In esso operano ricercatori senior di pluriennale esperienza, per lo più provenienti dal mondo universitario, ma con esperienze anche nel  marketing,  ne</w:t>
      </w:r>
      <w:r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  <w:t xml:space="preserve">l no-profit e nel  giornalismo. </w:t>
      </w:r>
      <w:proofErr w:type="spellStart"/>
      <w:r w:rsidRPr="00352F30"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  <w:t>Eumetra</w:t>
      </w:r>
      <w:proofErr w:type="spellEnd"/>
      <w:r w:rsidRPr="00352F30"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  <w:t xml:space="preserve"> inoltre si avvale, tra gli altri, </w:t>
      </w:r>
      <w:r w:rsidR="00F72E23" w:rsidRPr="00F72E23"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  <w:t xml:space="preserve">della prestigiosa consulenza del Professor Renato Mannheimer, già fondatore di ISPO Ricerche. La ricerca è stata realizzata dalla Dott.ssa Claudia Brunelli, Ricercatrice senior </w:t>
      </w:r>
      <w:proofErr w:type="spellStart"/>
      <w:r w:rsidR="00F72E23" w:rsidRPr="00F72E23"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  <w:t>Eumetra</w:t>
      </w:r>
      <w:proofErr w:type="spellEnd"/>
      <w:r w:rsidR="00F72E23" w:rsidRPr="00F72E23">
        <w:rPr>
          <w:rFonts w:ascii="Verdana" w:eastAsiaTheme="minorHAnsi" w:hAnsi="Verdana" w:cs="Arial"/>
          <w:i/>
          <w:color w:val="333333"/>
          <w:sz w:val="16"/>
          <w:szCs w:val="16"/>
          <w:shd w:val="clear" w:color="auto" w:fill="FFFFFF"/>
        </w:rPr>
        <w:t>.</w:t>
      </w:r>
    </w:p>
    <w:p w:rsidR="00352F30" w:rsidRDefault="00352F30" w:rsidP="000177AC">
      <w:pPr>
        <w:pStyle w:val="Nessunaspaziatura"/>
        <w:spacing w:before="60" w:after="60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352F30" w:rsidRDefault="00352F30" w:rsidP="000177AC">
      <w:pPr>
        <w:pStyle w:val="Nessunaspaziatura"/>
        <w:spacing w:before="60" w:after="60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352F30" w:rsidRDefault="00352F30" w:rsidP="000177AC">
      <w:pPr>
        <w:pStyle w:val="Nessunaspaziatura"/>
        <w:spacing w:before="60" w:after="60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0177AC" w:rsidRPr="006C7072" w:rsidRDefault="000177AC" w:rsidP="000177AC">
      <w:pPr>
        <w:pStyle w:val="Nessunaspaziatura"/>
        <w:spacing w:before="60" w:after="60"/>
        <w:jc w:val="center"/>
        <w:rPr>
          <w:b/>
          <w:bCs/>
          <w:color w:val="000000"/>
          <w:sz w:val="18"/>
          <w:szCs w:val="18"/>
        </w:rPr>
      </w:pPr>
      <w:r w:rsidRPr="006C7072">
        <w:rPr>
          <w:rFonts w:ascii="Verdana" w:hAnsi="Verdana"/>
          <w:b/>
          <w:bCs/>
          <w:color w:val="000000"/>
          <w:sz w:val="18"/>
          <w:szCs w:val="18"/>
        </w:rPr>
        <w:t xml:space="preserve">Ufficio Stampa </w:t>
      </w:r>
      <w:proofErr w:type="spellStart"/>
      <w:r w:rsidRPr="006C7072">
        <w:rPr>
          <w:rFonts w:ascii="Verdana" w:hAnsi="Verdana"/>
          <w:b/>
          <w:bCs/>
          <w:color w:val="000000"/>
          <w:sz w:val="18"/>
          <w:szCs w:val="18"/>
        </w:rPr>
        <w:t>LifeGate</w:t>
      </w:r>
      <w:proofErr w:type="spellEnd"/>
    </w:p>
    <w:p w:rsidR="000177AC" w:rsidRPr="006C7072" w:rsidRDefault="000177AC" w:rsidP="000177AC">
      <w:pPr>
        <w:pStyle w:val="Nessunaspaziatura"/>
        <w:jc w:val="center"/>
        <w:rPr>
          <w:rFonts w:ascii="Verdana" w:hAnsi="Verdana"/>
          <w:sz w:val="18"/>
          <w:szCs w:val="18"/>
        </w:rPr>
      </w:pPr>
      <w:r w:rsidRPr="006C7072">
        <w:rPr>
          <w:rFonts w:ascii="Verdana" w:hAnsi="Verdana"/>
          <w:sz w:val="18"/>
          <w:szCs w:val="18"/>
        </w:rPr>
        <w:t>C/O ESPRESSO COMMUNICATION</w:t>
      </w:r>
    </w:p>
    <w:p w:rsidR="000177AC" w:rsidRPr="006C7072" w:rsidRDefault="000177AC" w:rsidP="000177AC">
      <w:pPr>
        <w:pStyle w:val="Nessunaspaziatura"/>
        <w:jc w:val="center"/>
        <w:rPr>
          <w:rFonts w:ascii="Verdana" w:hAnsi="Verdana"/>
          <w:sz w:val="18"/>
          <w:szCs w:val="18"/>
        </w:rPr>
      </w:pPr>
      <w:r w:rsidRPr="006C7072">
        <w:rPr>
          <w:rFonts w:ascii="Verdana" w:hAnsi="Verdana"/>
          <w:sz w:val="18"/>
          <w:szCs w:val="18"/>
        </w:rPr>
        <w:t xml:space="preserve">Laura Locati – </w:t>
      </w:r>
      <w:r w:rsidR="001C2A25" w:rsidRPr="006C7072">
        <w:rPr>
          <w:rFonts w:ascii="Verdana" w:hAnsi="Verdana"/>
          <w:sz w:val="18"/>
          <w:szCs w:val="18"/>
        </w:rPr>
        <w:t>Viviana Marino</w:t>
      </w:r>
    </w:p>
    <w:p w:rsidR="000177AC" w:rsidRPr="006C7072" w:rsidRDefault="00E90995" w:rsidP="000177AC">
      <w:pPr>
        <w:pStyle w:val="Nessunaspaziatura"/>
        <w:jc w:val="center"/>
        <w:rPr>
          <w:rFonts w:ascii="Verdana" w:hAnsi="Verdana"/>
          <w:sz w:val="18"/>
          <w:szCs w:val="18"/>
        </w:rPr>
      </w:pPr>
      <w:hyperlink r:id="rId8" w:history="1">
        <w:r w:rsidR="000177AC" w:rsidRPr="006C7072">
          <w:rPr>
            <w:rStyle w:val="Collegamentoipertestuale"/>
            <w:rFonts w:ascii="Verdana" w:hAnsi="Verdana"/>
            <w:sz w:val="18"/>
            <w:szCs w:val="18"/>
          </w:rPr>
          <w:t>l.locati@espressocommunication.it</w:t>
        </w:r>
      </w:hyperlink>
    </w:p>
    <w:p w:rsidR="000177AC" w:rsidRPr="006C7072" w:rsidRDefault="00E90995" w:rsidP="000177AC">
      <w:pPr>
        <w:pStyle w:val="Nessunaspaziatura"/>
        <w:jc w:val="center"/>
        <w:rPr>
          <w:rFonts w:ascii="Verdana" w:hAnsi="Verdana"/>
          <w:sz w:val="18"/>
          <w:szCs w:val="18"/>
        </w:rPr>
      </w:pPr>
      <w:hyperlink r:id="rId9" w:history="1">
        <w:r w:rsidR="001C2A25" w:rsidRPr="006C7072">
          <w:rPr>
            <w:rStyle w:val="Collegamentoipertestuale"/>
            <w:rFonts w:ascii="Verdana" w:hAnsi="Verdana"/>
            <w:sz w:val="18"/>
            <w:szCs w:val="18"/>
          </w:rPr>
          <w:t>v.marino@espressocommunication.it</w:t>
        </w:r>
      </w:hyperlink>
      <w:r w:rsidR="001C2A25" w:rsidRPr="006C7072">
        <w:rPr>
          <w:rFonts w:ascii="Verdana" w:hAnsi="Verdana"/>
          <w:sz w:val="18"/>
          <w:szCs w:val="18"/>
        </w:rPr>
        <w:t xml:space="preserve"> </w:t>
      </w:r>
    </w:p>
    <w:p w:rsidR="00FB5C60" w:rsidRDefault="00B12D6F" w:rsidP="006618AB">
      <w:pPr>
        <w:pStyle w:val="Nessunaspaziatura"/>
        <w:jc w:val="center"/>
      </w:pPr>
      <w:r>
        <w:rPr>
          <w:rFonts w:ascii="Verdana" w:hAnsi="Verdana"/>
          <w:sz w:val="18"/>
          <w:szCs w:val="18"/>
        </w:rPr>
        <w:t>T. +390392720311 – M. 3929781997</w:t>
      </w:r>
      <w:bookmarkStart w:id="0" w:name="_GoBack"/>
      <w:bookmarkEnd w:id="0"/>
    </w:p>
    <w:sectPr w:rsidR="00FB5C60" w:rsidSect="006618AB">
      <w:headerReference w:type="default" r:id="rId10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FE" w:rsidRDefault="00B837FE" w:rsidP="00FB5C60">
      <w:pPr>
        <w:spacing w:after="0" w:line="240" w:lineRule="auto"/>
      </w:pPr>
      <w:r>
        <w:separator/>
      </w:r>
    </w:p>
  </w:endnote>
  <w:endnote w:type="continuationSeparator" w:id="0">
    <w:p w:rsidR="00B837FE" w:rsidRDefault="00B837FE" w:rsidP="00FB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FE" w:rsidRDefault="00B837FE" w:rsidP="00FB5C60">
      <w:pPr>
        <w:spacing w:after="0" w:line="240" w:lineRule="auto"/>
      </w:pPr>
      <w:r>
        <w:separator/>
      </w:r>
    </w:p>
  </w:footnote>
  <w:footnote w:type="continuationSeparator" w:id="0">
    <w:p w:rsidR="00B837FE" w:rsidRDefault="00B837FE" w:rsidP="00FB5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2DC" w:rsidRDefault="003C02DC">
    <w:pPr>
      <w:pStyle w:val="Intestazione"/>
    </w:pPr>
    <w:r>
      <w:rPr>
        <w:rFonts w:ascii="Arial" w:hAnsi="Arial" w:cs="Arial"/>
        <w:b/>
        <w:bCs/>
        <w:noProof/>
        <w:color w:val="275575"/>
        <w:sz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154305</wp:posOffset>
          </wp:positionV>
          <wp:extent cx="2317115" cy="732790"/>
          <wp:effectExtent l="0" t="0" r="6985" b="0"/>
          <wp:wrapSquare wrapText="bothSides"/>
          <wp:docPr id="4" name="Immagine 4" descr="LifeGate_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Gate_p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688"/>
    <w:multiLevelType w:val="hybridMultilevel"/>
    <w:tmpl w:val="6E3EA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487C"/>
    <w:multiLevelType w:val="hybridMultilevel"/>
    <w:tmpl w:val="F03A8678"/>
    <w:lvl w:ilvl="0" w:tplc="0DD86DD2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F606FE">
      <w:start w:val="1"/>
      <w:numFmt w:val="bullet"/>
      <w:lvlText w:val="o"/>
      <w:lvlJc w:val="left"/>
      <w:pPr>
        <w:ind w:left="1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A25D00">
      <w:start w:val="1"/>
      <w:numFmt w:val="bullet"/>
      <w:lvlText w:val="▪"/>
      <w:lvlJc w:val="left"/>
      <w:pPr>
        <w:ind w:left="2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60BC48">
      <w:start w:val="1"/>
      <w:numFmt w:val="bullet"/>
      <w:lvlText w:val="•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84A1A8">
      <w:start w:val="1"/>
      <w:numFmt w:val="bullet"/>
      <w:lvlText w:val="o"/>
      <w:lvlJc w:val="left"/>
      <w:pPr>
        <w:ind w:left="3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BAC890">
      <w:start w:val="1"/>
      <w:numFmt w:val="bullet"/>
      <w:lvlText w:val="▪"/>
      <w:lvlJc w:val="left"/>
      <w:pPr>
        <w:ind w:left="4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40136E">
      <w:start w:val="1"/>
      <w:numFmt w:val="bullet"/>
      <w:lvlText w:val="•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60E9D0">
      <w:start w:val="1"/>
      <w:numFmt w:val="bullet"/>
      <w:lvlText w:val="o"/>
      <w:lvlJc w:val="left"/>
      <w:pPr>
        <w:ind w:left="5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EB68338">
      <w:start w:val="1"/>
      <w:numFmt w:val="bullet"/>
      <w:lvlText w:val="▪"/>
      <w:lvlJc w:val="left"/>
      <w:pPr>
        <w:ind w:left="6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CA21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A106C2"/>
    <w:multiLevelType w:val="hybridMultilevel"/>
    <w:tmpl w:val="C9A8C300"/>
    <w:lvl w:ilvl="0" w:tplc="0E0886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20F74"/>
    <w:multiLevelType w:val="hybridMultilevel"/>
    <w:tmpl w:val="395CEC5C"/>
    <w:lvl w:ilvl="0" w:tplc="179032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26"/>
    <w:rsid w:val="0000740A"/>
    <w:rsid w:val="0001352B"/>
    <w:rsid w:val="00016C26"/>
    <w:rsid w:val="000177AC"/>
    <w:rsid w:val="00042A8F"/>
    <w:rsid w:val="00086054"/>
    <w:rsid w:val="000A1711"/>
    <w:rsid w:val="000B180B"/>
    <w:rsid w:val="000D7E4B"/>
    <w:rsid w:val="000E1F7D"/>
    <w:rsid w:val="00120826"/>
    <w:rsid w:val="0012636B"/>
    <w:rsid w:val="00131284"/>
    <w:rsid w:val="00140CBD"/>
    <w:rsid w:val="0017625C"/>
    <w:rsid w:val="00180D0B"/>
    <w:rsid w:val="00191D94"/>
    <w:rsid w:val="001939B3"/>
    <w:rsid w:val="001A014A"/>
    <w:rsid w:val="001A15AE"/>
    <w:rsid w:val="001B3BFC"/>
    <w:rsid w:val="001C1E3C"/>
    <w:rsid w:val="001C2A25"/>
    <w:rsid w:val="001F65F4"/>
    <w:rsid w:val="00230EB5"/>
    <w:rsid w:val="002319AE"/>
    <w:rsid w:val="0023222E"/>
    <w:rsid w:val="00234555"/>
    <w:rsid w:val="00234569"/>
    <w:rsid w:val="002372FC"/>
    <w:rsid w:val="00245675"/>
    <w:rsid w:val="00247DF5"/>
    <w:rsid w:val="00257E1A"/>
    <w:rsid w:val="00265CBD"/>
    <w:rsid w:val="0029636A"/>
    <w:rsid w:val="002A0C38"/>
    <w:rsid w:val="002C102B"/>
    <w:rsid w:val="002C41D6"/>
    <w:rsid w:val="002D788E"/>
    <w:rsid w:val="003016FE"/>
    <w:rsid w:val="00301B75"/>
    <w:rsid w:val="00306139"/>
    <w:rsid w:val="00335D26"/>
    <w:rsid w:val="00342E2D"/>
    <w:rsid w:val="00352F30"/>
    <w:rsid w:val="00364598"/>
    <w:rsid w:val="00370DA2"/>
    <w:rsid w:val="0038367D"/>
    <w:rsid w:val="00390E50"/>
    <w:rsid w:val="003912CB"/>
    <w:rsid w:val="00397A2C"/>
    <w:rsid w:val="003C02DC"/>
    <w:rsid w:val="003C0825"/>
    <w:rsid w:val="003C6A71"/>
    <w:rsid w:val="003D6C8D"/>
    <w:rsid w:val="003E647C"/>
    <w:rsid w:val="003F2886"/>
    <w:rsid w:val="003F2BA1"/>
    <w:rsid w:val="00400B7B"/>
    <w:rsid w:val="00406C57"/>
    <w:rsid w:val="00432D3D"/>
    <w:rsid w:val="0045389E"/>
    <w:rsid w:val="00454615"/>
    <w:rsid w:val="00456924"/>
    <w:rsid w:val="004601C0"/>
    <w:rsid w:val="004A4874"/>
    <w:rsid w:val="004B0ED9"/>
    <w:rsid w:val="004C75C2"/>
    <w:rsid w:val="004D58D8"/>
    <w:rsid w:val="004F614B"/>
    <w:rsid w:val="005050D8"/>
    <w:rsid w:val="00507636"/>
    <w:rsid w:val="00522924"/>
    <w:rsid w:val="005254F4"/>
    <w:rsid w:val="00540629"/>
    <w:rsid w:val="005552A8"/>
    <w:rsid w:val="00567F76"/>
    <w:rsid w:val="00573298"/>
    <w:rsid w:val="00574CBC"/>
    <w:rsid w:val="005A2058"/>
    <w:rsid w:val="005C482E"/>
    <w:rsid w:val="005D5241"/>
    <w:rsid w:val="005F6E17"/>
    <w:rsid w:val="00606B96"/>
    <w:rsid w:val="00612EAC"/>
    <w:rsid w:val="00617743"/>
    <w:rsid w:val="00624917"/>
    <w:rsid w:val="00644B42"/>
    <w:rsid w:val="00644BB2"/>
    <w:rsid w:val="00652584"/>
    <w:rsid w:val="00654819"/>
    <w:rsid w:val="006618AB"/>
    <w:rsid w:val="00674726"/>
    <w:rsid w:val="006770D3"/>
    <w:rsid w:val="006904D6"/>
    <w:rsid w:val="0069277A"/>
    <w:rsid w:val="006A3EA7"/>
    <w:rsid w:val="006A63D5"/>
    <w:rsid w:val="006C7072"/>
    <w:rsid w:val="007068D9"/>
    <w:rsid w:val="00713191"/>
    <w:rsid w:val="00727ADA"/>
    <w:rsid w:val="00727D4E"/>
    <w:rsid w:val="00737DF5"/>
    <w:rsid w:val="00755D6F"/>
    <w:rsid w:val="00760CA5"/>
    <w:rsid w:val="00771D47"/>
    <w:rsid w:val="0078262A"/>
    <w:rsid w:val="007863B2"/>
    <w:rsid w:val="00797818"/>
    <w:rsid w:val="007B03A9"/>
    <w:rsid w:val="007B468E"/>
    <w:rsid w:val="007D5790"/>
    <w:rsid w:val="007F6CCD"/>
    <w:rsid w:val="00807D91"/>
    <w:rsid w:val="0082766B"/>
    <w:rsid w:val="00836D4C"/>
    <w:rsid w:val="00845E19"/>
    <w:rsid w:val="00854A4F"/>
    <w:rsid w:val="00862AB6"/>
    <w:rsid w:val="00866B92"/>
    <w:rsid w:val="00885E82"/>
    <w:rsid w:val="0089240C"/>
    <w:rsid w:val="008C7197"/>
    <w:rsid w:val="008D1FB0"/>
    <w:rsid w:val="008D3F6E"/>
    <w:rsid w:val="008E2981"/>
    <w:rsid w:val="008F307B"/>
    <w:rsid w:val="00913AE9"/>
    <w:rsid w:val="009438F2"/>
    <w:rsid w:val="00951E9B"/>
    <w:rsid w:val="00964E0C"/>
    <w:rsid w:val="009663C6"/>
    <w:rsid w:val="00996CED"/>
    <w:rsid w:val="009D1AD1"/>
    <w:rsid w:val="009D78B1"/>
    <w:rsid w:val="009F4CFD"/>
    <w:rsid w:val="00A01D22"/>
    <w:rsid w:val="00A16765"/>
    <w:rsid w:val="00A35EF4"/>
    <w:rsid w:val="00A4487A"/>
    <w:rsid w:val="00AA1714"/>
    <w:rsid w:val="00AB0E22"/>
    <w:rsid w:val="00AB666A"/>
    <w:rsid w:val="00AD23D6"/>
    <w:rsid w:val="00AE047E"/>
    <w:rsid w:val="00AE6153"/>
    <w:rsid w:val="00B12D6F"/>
    <w:rsid w:val="00B24E38"/>
    <w:rsid w:val="00B24FA1"/>
    <w:rsid w:val="00B36764"/>
    <w:rsid w:val="00B43626"/>
    <w:rsid w:val="00B43A7C"/>
    <w:rsid w:val="00B4423C"/>
    <w:rsid w:val="00B55B1B"/>
    <w:rsid w:val="00B60959"/>
    <w:rsid w:val="00B735B0"/>
    <w:rsid w:val="00B837FE"/>
    <w:rsid w:val="00BC3006"/>
    <w:rsid w:val="00BD0003"/>
    <w:rsid w:val="00C3478F"/>
    <w:rsid w:val="00C35AD3"/>
    <w:rsid w:val="00C55BE1"/>
    <w:rsid w:val="00C94890"/>
    <w:rsid w:val="00CA5418"/>
    <w:rsid w:val="00CC07B3"/>
    <w:rsid w:val="00CD53E5"/>
    <w:rsid w:val="00CE4101"/>
    <w:rsid w:val="00CF774A"/>
    <w:rsid w:val="00D01523"/>
    <w:rsid w:val="00D12387"/>
    <w:rsid w:val="00D37222"/>
    <w:rsid w:val="00D509C1"/>
    <w:rsid w:val="00D65CC0"/>
    <w:rsid w:val="00D679C4"/>
    <w:rsid w:val="00D873A4"/>
    <w:rsid w:val="00D9393B"/>
    <w:rsid w:val="00D947EF"/>
    <w:rsid w:val="00DE6F38"/>
    <w:rsid w:val="00DE78E4"/>
    <w:rsid w:val="00E02565"/>
    <w:rsid w:val="00E036A0"/>
    <w:rsid w:val="00E0698A"/>
    <w:rsid w:val="00E13A1B"/>
    <w:rsid w:val="00E208BA"/>
    <w:rsid w:val="00E3073B"/>
    <w:rsid w:val="00E40F68"/>
    <w:rsid w:val="00E50225"/>
    <w:rsid w:val="00E81051"/>
    <w:rsid w:val="00E83FF8"/>
    <w:rsid w:val="00E90995"/>
    <w:rsid w:val="00E97FA0"/>
    <w:rsid w:val="00EA4D81"/>
    <w:rsid w:val="00EB775E"/>
    <w:rsid w:val="00EC5E9E"/>
    <w:rsid w:val="00EF3B5E"/>
    <w:rsid w:val="00F01F22"/>
    <w:rsid w:val="00F028CB"/>
    <w:rsid w:val="00F04003"/>
    <w:rsid w:val="00F054D1"/>
    <w:rsid w:val="00F05871"/>
    <w:rsid w:val="00F12A25"/>
    <w:rsid w:val="00F30981"/>
    <w:rsid w:val="00F41A85"/>
    <w:rsid w:val="00F55C2B"/>
    <w:rsid w:val="00F64682"/>
    <w:rsid w:val="00F67DAB"/>
    <w:rsid w:val="00F70595"/>
    <w:rsid w:val="00F72E23"/>
    <w:rsid w:val="00F94D7A"/>
    <w:rsid w:val="00FB5C60"/>
    <w:rsid w:val="00FE0BFB"/>
    <w:rsid w:val="00FE62DA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646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64682"/>
  </w:style>
  <w:style w:type="paragraph" w:customStyle="1" w:styleId="Default">
    <w:name w:val="Default"/>
    <w:rsid w:val="00237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5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C60"/>
  </w:style>
  <w:style w:type="paragraph" w:styleId="Pidipagina">
    <w:name w:val="footer"/>
    <w:basedOn w:val="Normale"/>
    <w:link w:val="PidipaginaCarattere"/>
    <w:uiPriority w:val="99"/>
    <w:unhideWhenUsed/>
    <w:rsid w:val="00FB5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C60"/>
  </w:style>
  <w:style w:type="paragraph" w:styleId="Nessunaspaziatura">
    <w:name w:val="No Spacing"/>
    <w:uiPriority w:val="1"/>
    <w:qFormat/>
    <w:rsid w:val="00FB5C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stract">
    <w:name w:val="abstract"/>
    <w:basedOn w:val="Normale"/>
    <w:rsid w:val="00FB5C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corsivo">
    <w:name w:val="Emphasis"/>
    <w:uiPriority w:val="20"/>
    <w:qFormat/>
    <w:rsid w:val="00FB5C60"/>
    <w:rPr>
      <w:i/>
      <w:iCs/>
    </w:rPr>
  </w:style>
  <w:style w:type="table" w:customStyle="1" w:styleId="TableGrid">
    <w:name w:val="TableGrid"/>
    <w:rsid w:val="00567F76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F028C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D00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0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00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00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000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C1E3C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646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64682"/>
  </w:style>
  <w:style w:type="paragraph" w:customStyle="1" w:styleId="Default">
    <w:name w:val="Default"/>
    <w:rsid w:val="00237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5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C60"/>
  </w:style>
  <w:style w:type="paragraph" w:styleId="Pidipagina">
    <w:name w:val="footer"/>
    <w:basedOn w:val="Normale"/>
    <w:link w:val="PidipaginaCarattere"/>
    <w:uiPriority w:val="99"/>
    <w:unhideWhenUsed/>
    <w:rsid w:val="00FB5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C60"/>
  </w:style>
  <w:style w:type="paragraph" w:styleId="Nessunaspaziatura">
    <w:name w:val="No Spacing"/>
    <w:uiPriority w:val="1"/>
    <w:qFormat/>
    <w:rsid w:val="00FB5C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stract">
    <w:name w:val="abstract"/>
    <w:basedOn w:val="Normale"/>
    <w:rsid w:val="00FB5C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Enfasicorsivo">
    <w:name w:val="Emphasis"/>
    <w:uiPriority w:val="20"/>
    <w:qFormat/>
    <w:rsid w:val="00FB5C60"/>
    <w:rPr>
      <w:i/>
      <w:iCs/>
    </w:rPr>
  </w:style>
  <w:style w:type="table" w:customStyle="1" w:styleId="TableGrid">
    <w:name w:val="TableGrid"/>
    <w:rsid w:val="00567F76"/>
    <w:pPr>
      <w:spacing w:after="0" w:line="240" w:lineRule="auto"/>
    </w:pPr>
    <w:rPr>
      <w:rFonts w:eastAsiaTheme="minorEastAsia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F028C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D00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00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00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00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000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C1E3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ocati@espressocommunication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marino@espressocommunicati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Griggio - EspressoCS</dc:creator>
  <cp:lastModifiedBy>Laura Locati </cp:lastModifiedBy>
  <cp:revision>20</cp:revision>
  <cp:lastPrinted>2015-05-13T17:08:00Z</cp:lastPrinted>
  <dcterms:created xsi:type="dcterms:W3CDTF">2015-05-13T09:21:00Z</dcterms:created>
  <dcterms:modified xsi:type="dcterms:W3CDTF">2015-05-13T17:15:00Z</dcterms:modified>
</cp:coreProperties>
</file>